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F0338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033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262F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41C2">
        <w:rPr>
          <w:rFonts w:ascii="Times New Roman" w:hAnsi="Times New Roman" w:cs="Times New Roman"/>
          <w:sz w:val="24"/>
          <w:szCs w:val="24"/>
        </w:rPr>
        <w:t>23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C641C2">
        <w:rPr>
          <w:rFonts w:ascii="Times New Roman" w:hAnsi="Times New Roman" w:cs="Times New Roman"/>
          <w:sz w:val="24"/>
          <w:szCs w:val="24"/>
        </w:rPr>
        <w:t>217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D53FDD">
        <w:rPr>
          <w:rFonts w:ascii="Times New Roman" w:hAnsi="Times New Roman" w:cs="Times New Roman"/>
          <w:sz w:val="28"/>
          <w:szCs w:val="28"/>
        </w:rPr>
        <w:t>,4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0011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0018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3131C0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40 770 946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3131C0">
        <w:rPr>
          <w:rFonts w:ascii="Times New Roman" w:hAnsi="Times New Roman" w:cs="Times New Roman"/>
          <w:sz w:val="28"/>
          <w:szCs w:val="28"/>
        </w:rPr>
        <w:t>;</w:t>
      </w:r>
    </w:p>
    <w:p w:rsidR="003131C0" w:rsidRDefault="003131C0" w:rsidP="00313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2 443 546,76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A2936" w:rsidRPr="007D1E80" w:rsidRDefault="003A2936" w:rsidP="003A2936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3A2936" w:rsidRDefault="003A2936" w:rsidP="003A2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7 447 715,76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301AC5" w:rsidRDefault="00DB54D3" w:rsidP="003A293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1.</w:t>
      </w:r>
      <w:r w:rsidR="003A2936">
        <w:rPr>
          <w:rFonts w:ascii="Times New Roman" w:hAnsi="Times New Roman" w:cs="Times New Roman"/>
          <w:sz w:val="28"/>
          <w:szCs w:val="28"/>
        </w:rPr>
        <w:t>3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2936" w:rsidRPr="003A2936">
        <w:rPr>
          <w:rFonts w:ascii="Times New Roman" w:hAnsi="Times New Roman" w:cs="Times New Roman"/>
          <w:color w:val="000000"/>
          <w:sz w:val="28"/>
          <w:szCs w:val="28"/>
        </w:rPr>
        <w:t>рочие дотации бюджетам сельских поселений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1 000 0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  <w:r w:rsidR="003A2936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="003A2936">
        <w:rPr>
          <w:rFonts w:ascii="Times New Roman" w:hAnsi="Times New Roman" w:cs="Times New Roman"/>
          <w:sz w:val="28"/>
          <w:szCs w:val="28"/>
        </w:rPr>
        <w:t xml:space="preserve">04 09 </w:t>
      </w:r>
      <w:r w:rsidR="001533E8">
        <w:rPr>
          <w:rFonts w:ascii="Times New Roman" w:hAnsi="Times New Roman" w:cs="Times New Roman"/>
          <w:sz w:val="28"/>
          <w:szCs w:val="28"/>
        </w:rPr>
        <w:t xml:space="preserve"> «</w:t>
      </w:r>
      <w:r w:rsidR="003A2936" w:rsidRPr="007D1E80">
        <w:rPr>
          <w:rFonts w:ascii="Times New Roman" w:hAnsi="Times New Roman" w:cs="Times New Roman"/>
          <w:sz w:val="28"/>
          <w:szCs w:val="28"/>
        </w:rPr>
        <w:t>Дорожное хозяйство (дорожные фонды)»</w:t>
      </w:r>
      <w:r w:rsidR="001533E8">
        <w:rPr>
          <w:rFonts w:ascii="Times New Roman" w:hAnsi="Times New Roman" w:cs="Times New Roman"/>
          <w:sz w:val="28"/>
          <w:szCs w:val="28"/>
        </w:rPr>
        <w:t>, целевой статье</w:t>
      </w:r>
      <w:r w:rsidR="001533E8" w:rsidRPr="00883D53">
        <w:t xml:space="preserve"> </w:t>
      </w:r>
      <w:r w:rsidR="003A2936" w:rsidRPr="003A2936">
        <w:rPr>
          <w:rFonts w:ascii="Times New Roman" w:hAnsi="Times New Roman" w:cs="Times New Roman"/>
          <w:sz w:val="28"/>
          <w:szCs w:val="28"/>
        </w:rPr>
        <w:t>9900060390</w:t>
      </w:r>
      <w:r w:rsidR="001533E8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 w:rsidR="003A2936">
        <w:rPr>
          <w:rFonts w:ascii="Times New Roman" w:hAnsi="Times New Roman" w:cs="Times New Roman"/>
          <w:sz w:val="28"/>
          <w:szCs w:val="28"/>
        </w:rPr>
        <w:t>«</w:t>
      </w:r>
      <w:r w:rsidR="003A2936" w:rsidRPr="003A2936">
        <w:rPr>
          <w:rFonts w:ascii="Times New Roman" w:hAnsi="Times New Roman" w:cs="Times New Roman"/>
          <w:sz w:val="28"/>
          <w:szCs w:val="28"/>
        </w:rPr>
        <w:t xml:space="preserve">Лучший </w:t>
      </w:r>
      <w:r w:rsidR="003A2936" w:rsidRPr="003A2936">
        <w:rPr>
          <w:rFonts w:ascii="Times New Roman" w:hAnsi="Times New Roman" w:cs="Times New Roman"/>
          <w:sz w:val="28"/>
          <w:szCs w:val="28"/>
        </w:rPr>
        <w:lastRenderedPageBreak/>
        <w:t>орган территориального общественного самоуправления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A2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A293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3A29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A2936">
        <w:rPr>
          <w:rFonts w:ascii="Times New Roman" w:hAnsi="Times New Roman" w:cs="Times New Roman"/>
          <w:sz w:val="28"/>
          <w:szCs w:val="28"/>
        </w:rPr>
        <w:t>.</w:t>
      </w:r>
    </w:p>
    <w:p w:rsidR="00E91706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1 173 700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E91706" w:rsidRPr="007D1E80" w:rsidRDefault="00E91706" w:rsidP="00E91706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189 510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6E56" w:rsidRDefault="00E91706" w:rsidP="00C96E56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072</w:t>
      </w:r>
      <w:r w:rsidR="003131C0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6E56">
        <w:rPr>
          <w:rFonts w:ascii="Times New Roman" w:hAnsi="Times New Roman" w:cs="Times New Roman"/>
          <w:sz w:val="28"/>
          <w:szCs w:val="28"/>
        </w:rPr>
        <w:t>,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C96E56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C96E5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96E56" w:rsidRPr="00C96E56">
        <w:rPr>
          <w:rFonts w:ascii="Times New Roman" w:hAnsi="Times New Roman" w:cs="Times New Roman"/>
          <w:sz w:val="28"/>
          <w:szCs w:val="28"/>
        </w:rPr>
        <w:t xml:space="preserve"> </w:t>
      </w:r>
      <w:r w:rsidR="00C96E5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96E56">
        <w:rPr>
          <w:rFonts w:ascii="Times New Roman" w:hAnsi="Times New Roman" w:cs="Times New Roman"/>
          <w:color w:val="000000"/>
          <w:sz w:val="28"/>
          <w:szCs w:val="28"/>
        </w:rPr>
        <w:t xml:space="preserve">30 418,00 </w:t>
      </w:r>
      <w:r w:rsidR="00C96E56">
        <w:rPr>
          <w:rFonts w:ascii="Times New Roman" w:hAnsi="Times New Roman" w:cs="Times New Roman"/>
          <w:sz w:val="28"/>
          <w:szCs w:val="28"/>
        </w:rPr>
        <w:t>рублей,</w:t>
      </w:r>
    </w:p>
    <w:p w:rsidR="003131C0" w:rsidRDefault="003131C0" w:rsidP="003131C0">
      <w:pPr>
        <w:tabs>
          <w:tab w:val="left" w:pos="851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96 700,00 рублей.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3131C0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5. Пункт </w:t>
      </w:r>
      <w:r>
        <w:rPr>
          <w:rFonts w:ascii="Times New Roman" w:hAnsi="Times New Roman" w:cs="Times New Roman"/>
          <w:color w:val="000000"/>
          <w:sz w:val="28"/>
          <w:szCs w:val="28"/>
        </w:rPr>
        <w:t>15 дополнить абзацами следующего содержания:</w:t>
      </w:r>
    </w:p>
    <w:p w:rsidR="00E91706" w:rsidRDefault="00E91706" w:rsidP="00E917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>муниципальные должности Школьненского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>, размеры месячных окладов немуниципальных служащих органов местного самоуправления с 1 января 2024 года на 17 процентов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E77DE5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E77DE5">
        <w:rPr>
          <w:rFonts w:ascii="Times New Roman" w:hAnsi="Times New Roman" w:cs="Times New Roman"/>
          <w:sz w:val="28"/>
          <w:szCs w:val="28"/>
        </w:rPr>
        <w:t>,6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Совета Школьненского сельского </w:t>
      </w: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36B" w:rsidRDefault="002A036B" w:rsidP="00622B51">
      <w:pPr>
        <w:spacing w:after="0" w:line="240" w:lineRule="auto"/>
      </w:pPr>
      <w:r>
        <w:separator/>
      </w:r>
    </w:p>
  </w:endnote>
  <w:endnote w:type="continuationSeparator" w:id="1">
    <w:p w:rsidR="002A036B" w:rsidRDefault="002A036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36B" w:rsidRDefault="002A036B" w:rsidP="00622B51">
      <w:pPr>
        <w:spacing w:after="0" w:line="240" w:lineRule="auto"/>
      </w:pPr>
      <w:r>
        <w:separator/>
      </w:r>
    </w:p>
  </w:footnote>
  <w:footnote w:type="continuationSeparator" w:id="1">
    <w:p w:rsidR="002A036B" w:rsidRDefault="002A036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2936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97</cp:revision>
  <cp:lastPrinted>2024-05-24T13:05:00Z</cp:lastPrinted>
  <dcterms:created xsi:type="dcterms:W3CDTF">2015-11-03T11:28:00Z</dcterms:created>
  <dcterms:modified xsi:type="dcterms:W3CDTF">2024-05-27T13:05:00Z</dcterms:modified>
</cp:coreProperties>
</file>